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339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339D2">
              <w:rPr>
                <w:rFonts w:asciiTheme="majorHAnsi" w:hAnsiTheme="majorHAnsi" w:cs="Arial"/>
                <w:b/>
                <w:sz w:val="18"/>
                <w:szCs w:val="18"/>
              </w:rPr>
              <w:t>Organic chemistry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A1C6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A1C63">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A7631A">
                    <w:rPr>
                      <w:rFonts w:asciiTheme="majorHAnsi" w:hAnsiTheme="majorHAnsi" w:cs="Arial"/>
                      <w:b/>
                      <w:sz w:val="18"/>
                      <w:szCs w:val="18"/>
                    </w:rPr>
                  </w:r>
                  <w:r w:rsidR="00A7631A">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Pr>
                <w:rFonts w:asciiTheme="majorHAnsi" w:hAnsiTheme="majorHAnsi" w:cs="Arial"/>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A1C63">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Pr>
                <w:rFonts w:asciiTheme="majorHAnsi" w:hAnsiTheme="majorHAnsi" w:cs="Arial"/>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67,5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A1C6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A1C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142,5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A1C6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A1C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210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Faculty of natural sciences &amp;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Chemistry/Applied Chemistry; Environmental chemistry and quality control and Education in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  Ph.D.Majda Srabovic full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Acquaintance of students with the structure of organic compounds, types of reactions characteristic of the corresponding functional groups and intermediate products that occur in organic chemistry, with addition and substitution, elimination and rearrangement reactions. Students will learn about cyclic, bicyclic and heterocyclic compounds, structures with </w:t>
            </w:r>
            <w:r w:rsidR="003A1C63" w:rsidRPr="003A1C63">
              <w:rPr>
                <w:rFonts w:asciiTheme="majorHAnsi" w:hAnsiTheme="majorHAnsi" w:cs="Arial"/>
                <w:b/>
                <w:sz w:val="18"/>
                <w:szCs w:val="18"/>
              </w:rPr>
              <w:lastRenderedPageBreak/>
              <w:t xml:space="preserve">oxygen, nitrogen and sulfur. This program will enable students to follow mandatory and elective subjects more easily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At the end of the semester/course, successful students, who have continuously performed their duties during the entire teaching period, will be trained to independently perform basic experimental operations for the purification of raw organic compounds, as well as to independently solve problems in the domain of organic compound nomenclature, structural isomerism and basic computational tasks.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Thematic units in lectures and labs. exercises. Introductory lectures-course syllabus. History and development of organic chemistry, importance of organic molecules. Structure and bonding in organic molecules, hybridization (sp, sp², sp³), hydrogen deficiency index, electronegativity, bond dipoles (bond and molecule polarity), oxidation states of org. molecule. Functional groups and formulas of organic compounds. Division and nomenclature of org. compounds, hydrocarbons (aliphatic, cyclic, aromatic), alkanes, constitutional isomerism. Conformations and reactions of alkanes, energy diagrams, Iupac nomenclature of cycloalkanes, isomerism of disubstituted cycloalkanes (ring tension), conformations of cycloalkanes, substituted cyclohexanes. Iupac nomenclature of alkenes, cycloalkenes, alkynes, geometric isomerism (E, Z isomers) CIP rules. Electrophilic additions to alkenes. IUPAC nomenclature of alcohols, amines, ethers, thioethers, organohalogens, carbonyl compounds, carboxylic acids and derivatives. Bicyclic, polycyclic and condensed compounds - nomenclature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A1C63" w:rsidRPr="003A1C63"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Lectures, colloquium, laboratory exercises and consultations.</w:t>
            </w:r>
          </w:p>
          <w:p w:rsidR="00CB72ED" w:rsidRPr="00B96B4F"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 xml:space="preserve">An exit colloquium consisting of theoretical foundations and performed experimental exercises is taken. In the lectures, the material foreseen in the content of this course will be presented. The written test of knowledge includes test I and test II, which include solving problem tasks.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A1C63" w:rsidRPr="003A1C63"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Tests, final exam, corrective and additional corrective exam. During the semester students are doing 2 tests. Each test carries a maximum of 25 points. Both tests are done in a written form. Each test contains tasks and questions that relate only to the implied material between the tests. The final exam is in written / oral form and it has a maximum of 30 points. The student is obliged to pass the laboratory exercises, which are evaluated with 10 points, through a colloquium. The corrective and additional corrective exams are taken according to the same principle as the final exam. During the entire semester, the teacher will follow the presence of each student on a specially created form. The total grade is obtained by adding the number of points earned in the pre-exam assignments and the final exam. </w:t>
            </w:r>
          </w:p>
          <w:p w:rsidR="003A1C63" w:rsidRPr="003A1C63" w:rsidRDefault="003A1C63" w:rsidP="003A1C63">
            <w:pPr>
              <w:pStyle w:val="NoSpacing"/>
              <w:rPr>
                <w:rFonts w:asciiTheme="majorHAnsi" w:hAnsiTheme="majorHAnsi" w:cs="Arial"/>
                <w:b/>
                <w:sz w:val="18"/>
                <w:szCs w:val="18"/>
              </w:rPr>
            </w:pP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Criterion                                  Max. number of points                     Passing points</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teaching engagement                              5                                                        3</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exercises engagement                             5                                                       4</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colloquium                                                   10                                                     6</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TEST I                                                             25                                                    13</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TEST II                                                           25                                                    13</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Final exam                                                   30                                                    16</w:t>
            </w:r>
          </w:p>
          <w:p w:rsidR="00CB72ED" w:rsidRPr="00B96B4F"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 xml:space="preserve">TOTAL                                                         100                                                    55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A1C63" w:rsidRPr="003A1C63"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 xml:space="preserve">Number of conquest points     Mark (BiH)         (ECTS mark)            </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0-54                                                            5                                 F</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55 – 64                                                       6                                 E</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65 – 74                                                       7                                 D</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75 – 84                                                       8                                 C</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85 – 94                                                       9                                 B</w:t>
            </w:r>
          </w:p>
          <w:p w:rsidR="00CB72ED" w:rsidRPr="00B96B4F"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A1C63" w:rsidRPr="003A1C63" w:rsidRDefault="006D5B9B" w:rsidP="003A1C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sidRPr="003A1C63">
              <w:rPr>
                <w:rFonts w:asciiTheme="majorHAnsi" w:hAnsiTheme="majorHAnsi" w:cs="Arial"/>
                <w:b/>
                <w:sz w:val="18"/>
                <w:szCs w:val="18"/>
              </w:rPr>
              <w:t>1. F.A. Carey, Organic chemistry, McGrawHill,2000</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2. Pine S.H.Organska hemija, Školska knjiga Zagreb, 1994</w:t>
            </w:r>
          </w:p>
          <w:p w:rsidR="003A1C63" w:rsidRPr="003A1C63"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3. Rapić V.: Nomenklatura organskih spojeva,Školska knjiga Zagreb,2004</w:t>
            </w:r>
          </w:p>
          <w:p w:rsidR="00CB72ED" w:rsidRPr="00B96B4F" w:rsidRDefault="003A1C63" w:rsidP="003A1C63">
            <w:pPr>
              <w:pStyle w:val="NoSpacing"/>
              <w:rPr>
                <w:rFonts w:asciiTheme="majorHAnsi" w:hAnsiTheme="majorHAnsi" w:cs="Arial"/>
                <w:b/>
                <w:sz w:val="18"/>
                <w:szCs w:val="18"/>
              </w:rPr>
            </w:pPr>
            <w:r w:rsidRPr="003A1C63">
              <w:rPr>
                <w:rFonts w:asciiTheme="majorHAnsi" w:hAnsiTheme="majorHAnsi" w:cs="Arial"/>
                <w:b/>
                <w:sz w:val="18"/>
                <w:szCs w:val="18"/>
              </w:rPr>
              <w:t xml:space="preserve">4 Vollhardt Shore, Organska hemija, Data status i nauka, Beograd, 2004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D541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A1C63">
              <w:rPr>
                <w:rFonts w:asciiTheme="majorHAnsi" w:hAnsiTheme="majorHAnsi" w:cs="Arial"/>
                <w:b/>
                <w:sz w:val="18"/>
                <w:szCs w:val="18"/>
              </w:rPr>
              <w:t>202</w:t>
            </w:r>
            <w:r w:rsidR="00BD5419">
              <w:rPr>
                <w:rFonts w:asciiTheme="majorHAnsi" w:hAnsiTheme="majorHAnsi" w:cs="Arial"/>
                <w:b/>
                <w:sz w:val="18"/>
                <w:szCs w:val="18"/>
              </w:rPr>
              <w:t>6</w:t>
            </w:r>
            <w:r w:rsidR="003A1C63">
              <w:rPr>
                <w:rFonts w:asciiTheme="majorHAnsi" w:hAnsiTheme="majorHAnsi" w:cs="Arial"/>
                <w:b/>
                <w:sz w:val="18"/>
                <w:szCs w:val="18"/>
              </w:rPr>
              <w:t>-202</w:t>
            </w:r>
            <w:r w:rsidR="00BD5419">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BD5419">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BD5419">
              <w:rPr>
                <w:rFonts w:asciiTheme="majorHAnsi" w:hAnsiTheme="majorHAnsi" w:cs="Arial"/>
                <w:b/>
                <w:sz w:val="18"/>
                <w:szCs w:val="18"/>
              </w:rPr>
            </w:r>
            <w:r w:rsidRPr="00BD5419">
              <w:rPr>
                <w:rFonts w:asciiTheme="majorHAnsi" w:hAnsiTheme="majorHAnsi" w:cs="Arial"/>
                <w:b/>
                <w:sz w:val="18"/>
                <w:szCs w:val="18"/>
              </w:rPr>
              <w:fldChar w:fldCharType="separate"/>
            </w:r>
            <w:r w:rsidR="00FB48B6" w:rsidRPr="00BD5419">
              <w:rPr>
                <w:rFonts w:asciiTheme="majorHAnsi" w:hAnsiTheme="majorHAnsi" w:cs="Arial"/>
                <w:b/>
                <w:spacing w:val="216"/>
                <w:sz w:val="18"/>
                <w:szCs w:val="18"/>
              </w:rPr>
              <w:t>    </w:t>
            </w:r>
            <w:r w:rsidR="00FB48B6" w:rsidRPr="00BD5419">
              <w:rPr>
                <w:rFonts w:asciiTheme="majorHAnsi" w:hAnsiTheme="majorHAnsi" w:cs="Arial"/>
                <w:b/>
                <w:spacing w:val="-1"/>
                <w:sz w:val="18"/>
                <w:szCs w:val="18"/>
              </w:rPr>
              <w:t> </w:t>
            </w:r>
            <w:r w:rsidRPr="00BD5419">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31A" w:rsidRDefault="00A7631A">
      <w:pPr>
        <w:spacing w:line="240" w:lineRule="auto"/>
      </w:pPr>
      <w:r>
        <w:separator/>
      </w:r>
    </w:p>
  </w:endnote>
  <w:endnote w:type="continuationSeparator" w:id="0">
    <w:p w:rsidR="00A7631A" w:rsidRDefault="00A76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23B2B">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23B2B">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23B2B">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31A" w:rsidRDefault="00A7631A">
      <w:pPr>
        <w:spacing w:after="0"/>
      </w:pPr>
      <w:r>
        <w:separator/>
      </w:r>
    </w:p>
  </w:footnote>
  <w:footnote w:type="continuationSeparator" w:id="0">
    <w:p w:rsidR="00A7631A" w:rsidRDefault="00A763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6B3"/>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1C63"/>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670"/>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3B2B"/>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39D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7631A"/>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5419"/>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6F6E8B-616A-439D-818D-B0580738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C23E8-97A2-4228-9BCC-89812EFB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2026-03-12T09:39:00Z</dcterms:created>
  <dcterms:modified xsi:type="dcterms:W3CDTF">2026-03-12T09:39:00Z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